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A248F" w14:textId="77777777" w:rsidR="001B1C0B" w:rsidRPr="00693354" w:rsidRDefault="001B1C0B" w:rsidP="001B1C0B">
      <w:pPr>
        <w:pStyle w:val="NormalWeb"/>
        <w:spacing w:before="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LEADING TRANSFORMATION #4</w:t>
      </w:r>
    </w:p>
    <w:p w14:paraId="31C98E11"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DEVELOPMENT FRAMEWORK</w:t>
      </w:r>
      <w:r w:rsidRPr="00693354">
        <w:rPr>
          <w:rFonts w:ascii="Times New Roman" w:hAnsi="Times New Roman"/>
          <w:color w:val="1D2129"/>
          <w:sz w:val="24"/>
          <w:szCs w:val="24"/>
        </w:rPr>
        <w:br/>
        <w:t>The proposed paradigm for development has MORAL VISION based on intentionally selected Moral Values as its foundation. If we use the structure of a building to illustrate this concept of development, there will be PILLARS resting on the foundation of Moral Vision. The particular pillars chosen will be the strategic priorities that will drive development. The following are examples of areas that pillars can cover:</w:t>
      </w:r>
    </w:p>
    <w:p w14:paraId="1C5BEF6E" w14:textId="77777777" w:rsidR="001B1C0B" w:rsidRPr="00693354" w:rsidRDefault="001B1C0B" w:rsidP="001B1C0B">
      <w:pPr>
        <w:pStyle w:val="NormalWeb"/>
        <w:spacing w:before="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 Government</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Business/Economics</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Education</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Health</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Arts, Entertainment and Sports</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Science and Technology</w:t>
      </w:r>
      <w:r w:rsidRPr="00693354">
        <w:rPr>
          <w:rFonts w:ascii="Times New Roman" w:hAnsi="Times New Roman"/>
          <w:color w:val="1D2129"/>
          <w:sz w:val="24"/>
          <w:szCs w:val="24"/>
        </w:rPr>
        <w:br/>
        <w:t>• Media</w:t>
      </w:r>
    </w:p>
    <w:p w14:paraId="0DFD0CDB"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Once the pillars have been identified, strategic initiatives are launched to achieve specific goals that contribute to the development of communities or nations. The Roof of the building translates into the Desired Development Outcomes. These can be classified into three areas:</w:t>
      </w:r>
    </w:p>
    <w:p w14:paraId="3FE2E262"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 Individual Life Enrichment</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Cohesive and Developing Communities (Ubuntu Communities)</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Holistic Development</w:t>
      </w:r>
    </w:p>
    <w:p w14:paraId="7E13A59C"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Holistic development results in quality individual lives; and peaceful, cohesive, and transforming communities.</w:t>
      </w:r>
    </w:p>
    <w:p w14:paraId="52C553F9"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There is an interesting and significant parallel between these outcomes and the mission of the Church.</w:t>
      </w:r>
      <w:r w:rsidRPr="00693354">
        <w:rPr>
          <w:rStyle w:val="apple-converted-space"/>
          <w:rFonts w:ascii="Times New Roman" w:hAnsi="Times New Roman"/>
          <w:color w:val="1D2129"/>
          <w:sz w:val="24"/>
          <w:szCs w:val="24"/>
        </w:rPr>
        <w:t> </w:t>
      </w:r>
    </w:p>
    <w:p w14:paraId="77334C7F"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 Individual Life Enrichment (Abundant Life)</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Cohesive and Developing Communities (Healthy Multiplying Churches)</w:t>
      </w:r>
      <w:r w:rsidRPr="00693354">
        <w:rPr>
          <w:rFonts w:ascii="PMingLiU" w:eastAsia="PMingLiU" w:hAnsi="PMingLiU" w:cs="PMingLiU"/>
          <w:color w:val="1D2129"/>
          <w:sz w:val="24"/>
          <w:szCs w:val="24"/>
        </w:rPr>
        <w:br/>
      </w:r>
      <w:r w:rsidRPr="00693354">
        <w:rPr>
          <w:rFonts w:ascii="Times New Roman" w:hAnsi="Times New Roman"/>
          <w:color w:val="1D2129"/>
          <w:sz w:val="24"/>
          <w:szCs w:val="24"/>
        </w:rPr>
        <w:t>• Holistic Development (The Kingdom of God in the Present)</w:t>
      </w:r>
    </w:p>
    <w:p w14:paraId="060AAA90" w14:textId="77777777" w:rsidR="001B1C0B" w:rsidRPr="00693354" w:rsidRDefault="001B1C0B" w:rsidP="001B1C0B">
      <w:pPr>
        <w:pStyle w:val="NormalWeb"/>
        <w:spacing w:before="90" w:beforeAutospacing="0" w:after="90" w:afterAutospacing="0"/>
        <w:rPr>
          <w:rFonts w:ascii="Times New Roman" w:hAnsi="Times New Roman"/>
          <w:color w:val="1D2129"/>
          <w:sz w:val="24"/>
          <w:szCs w:val="24"/>
        </w:rPr>
      </w:pPr>
      <w:r w:rsidRPr="00693354">
        <w:rPr>
          <w:rFonts w:ascii="Times New Roman" w:hAnsi="Times New Roman"/>
          <w:color w:val="1D2129"/>
          <w:sz w:val="24"/>
          <w:szCs w:val="24"/>
        </w:rPr>
        <w:t>These parallels once again point to the Church as God’s instrument for the Holistic Development paradigm that we are proposing. When nations are developing based on this paradigm and through the leadership of the Church, God’s will be done on earth as it is in heaven. Jesus Christ, as Head, works through His Church to actualize the vision, values and blessings of the kingdom in the present; as a foretaste and assurance of the Perfect and Eternal Kingdom yet-to-come.</w:t>
      </w:r>
    </w:p>
    <w:p w14:paraId="623E04B1" w14:textId="77777777" w:rsidR="00A126EC" w:rsidRDefault="001B1C0B">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0B"/>
    <w:rsid w:val="001B1C0B"/>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98B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C0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B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Macintosh Word</Application>
  <DocSecurity>0</DocSecurity>
  <Lines>13</Lines>
  <Paragraphs>3</Paragraphs>
  <ScaleCrop>false</ScaleCrop>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2018-01-12T15:04:00Z</dcterms:created>
  <dcterms:modified xsi:type="dcterms:W3CDTF">2018-01-12T15:05:00Z</dcterms:modified>
</cp:coreProperties>
</file>